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9B426">
      <w:pPr>
        <w:pBdr>
          <w:top w:val="none" w:color="000000" w:sz="0" w:space="0"/>
          <w:left w:val="none" w:color="000000" w:sz="0" w:space="0"/>
          <w:bottom w:val="none" w:color="000000" w:sz="0" w:space="0"/>
          <w:right w:val="none" w:color="000000" w:sz="0" w:space="0"/>
        </w:pBdr>
        <w:spacing w:before="0" w:after="0"/>
        <w:ind w:left="0" w:right="0" w:firstLine="0"/>
        <w:jc w:val="center"/>
        <w:rPr>
          <w:rFonts w:ascii="方正小标宋简体" w:hAnsi="方正小标宋简体" w:eastAsia="方正小标宋简体" w:cs="方正小标宋简体"/>
          <w:snapToGrid/>
          <w:color w:val="FF0000"/>
          <w:sz w:val="72"/>
          <w:szCs w:val="72"/>
          <w:highlight w:val="none"/>
        </w:rPr>
      </w:pPr>
      <w:r>
        <w:rPr>
          <w:rFonts w:ascii="方正小标宋简体" w:hAnsi="方正小标宋简体" w:eastAsia="方正小标宋简体" w:cs="方正小标宋简体"/>
          <w:color w:val="FF0000"/>
          <w:sz w:val="72"/>
          <w:szCs w:val="20"/>
        </w:rPr>
        <w:t>新乡医学院三全学院文件</w:t>
      </w:r>
    </w:p>
    <w:p w14:paraId="3B6EBC49">
      <w:pPr>
        <w:pBdr>
          <w:top w:val="none" w:color="000000" w:sz="0" w:space="0"/>
          <w:left w:val="none" w:color="000000" w:sz="0" w:space="0"/>
          <w:bottom w:val="none" w:color="000000" w:sz="0" w:space="0"/>
          <w:right w:val="none" w:color="000000" w:sz="0" w:space="0"/>
        </w:pBdr>
        <w:spacing w:before="0" w:after="0"/>
        <w:ind w:left="0" w:right="0" w:firstLine="0"/>
        <w:jc w:val="center"/>
        <w:rPr>
          <w:sz w:val="24"/>
          <w:szCs w:val="24"/>
        </w:rPr>
      </w:pPr>
    </w:p>
    <w:p w14:paraId="0E4AB713">
      <w:pPr>
        <w:pBdr>
          <w:top w:val="none" w:color="000000" w:sz="0" w:space="0"/>
          <w:left w:val="none" w:color="000000" w:sz="0" w:space="0"/>
          <w:bottom w:val="none" w:color="000000" w:sz="0" w:space="0"/>
          <w:right w:val="none" w:color="000000" w:sz="0" w:space="0"/>
        </w:pBdr>
        <w:spacing w:before="0" w:after="0"/>
        <w:ind w:left="0" w:right="0" w:firstLine="0"/>
        <w:jc w:val="center"/>
        <w:rPr>
          <w:snapToGrid/>
          <w:sz w:val="24"/>
          <w:szCs w:val="24"/>
        </w:rPr>
      </w:pPr>
    </w:p>
    <w:p w14:paraId="16DB12B0">
      <w:pPr>
        <w:adjustRightInd w:val="0"/>
        <w:snapToGrid w:val="0"/>
        <w:spacing w:line="360" w:lineRule="auto"/>
        <w:jc w:val="center"/>
        <w:rPr>
          <w:rFonts w:hint="eastAsia" w:ascii="仿宋_GB2312"/>
          <w:snapToGrid/>
        </w:rPr>
      </w:pPr>
      <w:r>
        <w:rPr>
          <w:rFonts w:hint="eastAsia" w:ascii="仿宋_GB2312"/>
          <w:szCs w:val="32"/>
        </w:rPr>
        <w:t xml:space="preserve"> </w:t>
      </w:r>
      <w:bookmarkStart w:id="0" w:name="doc_mark"/>
      <w:r>
        <w:rPr>
          <w:rFonts w:hint="eastAsia" w:ascii="仿宋_GB2312"/>
          <w:szCs w:val="32"/>
          <w:lang w:eastAsia="zh-CN"/>
        </w:rPr>
        <w:t>院教〔2025〕4号</w:t>
      </w:r>
      <w:bookmarkEnd w:id="0"/>
      <w:r>
        <w:rPr>
          <w:rFonts w:ascii="仿宋_GB2312" w:cs="仿宋_GB2312"/>
          <w:szCs w:val="32"/>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364490</wp:posOffset>
                </wp:positionV>
                <wp:extent cx="5715000" cy="1270"/>
                <wp:effectExtent l="0" t="9525" r="0" b="12065"/>
                <wp:wrapNone/>
                <wp:docPr id="1" name="直线 16"/>
                <wp:cNvGraphicFramePr/>
                <a:graphic xmlns:a="http://schemas.openxmlformats.org/drawingml/2006/main">
                  <a:graphicData uri="http://schemas.microsoft.com/office/word/2010/wordprocessingShape">
                    <wps:wsp>
                      <wps:cNvCnPr/>
                      <wps:spPr bwMode="auto">
                        <a:xfrm>
                          <a:off x="0" y="0"/>
                          <a:ext cx="5715000" cy="1267"/>
                        </a:xfrm>
                        <a:prstGeom prst="line">
                          <a:avLst/>
                        </a:prstGeom>
                        <a:ln w="19050" cap="flat" cmpd="sng">
                          <a:solidFill>
                            <a:srgbClr val="FF0000"/>
                          </a:solidFill>
                          <a:prstDash val="solid"/>
                          <a:headEnd type="none" w="med" len="med"/>
                          <a:tailEnd type="none" w="med" len="med"/>
                        </a:ln>
                      </wps:spPr>
                      <wps:bodyPr rot="0">
                        <a:noAutofit/>
                      </wps:bodyPr>
                    </wps:wsp>
                  </a:graphicData>
                </a:graphic>
              </wp:anchor>
            </w:drawing>
          </mc:Choice>
          <mc:Fallback>
            <w:pict>
              <v:line id="直线 16" o:spid="_x0000_s1026" o:spt="20" style="position:absolute;left:0pt;margin-left:-1.65pt;margin-top:28.7pt;height:0.1pt;width:450pt;z-index:251659264;mso-width-relative:page;mso-height-relative:page;" filled="f" stroked="t" coordsize="21600,21600" o:gfxdata="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xsnxfZAAAACAEAAA8AAAAAAAAAAQAgAAAAIgAAAGRycy9kb3du&#10;cmV2LnhtbFBLAQIUABQAAAAIAIdO4kAD0BKD/gEAAAQEAAAOAAAAAAAAAAEAIAAAACgBAABkcnMv&#10;ZTJvRG9jLnhtbFBLBQYAAAAABgAGAFkBAACYBQAAAAA=&#10;">
                <v:fill on="f" focussize="0,0"/>
                <v:stroke weight="1.5pt" color="#FF0000" joinstyle="round"/>
                <v:imagedata o:title=""/>
                <o:lock v:ext="edit" aspectratio="f"/>
              </v:line>
            </w:pict>
          </mc:Fallback>
        </mc:AlternateContent>
      </w:r>
    </w:p>
    <w:p w14:paraId="244A1BCB">
      <w:pPr>
        <w:adjustRightInd w:val="0"/>
        <w:snapToGrid w:val="0"/>
        <w:spacing w:line="240" w:lineRule="auto"/>
        <w:jc w:val="center"/>
        <w:rPr>
          <w:rFonts w:hint="eastAsia" w:ascii="仿宋_GB2312"/>
        </w:rPr>
      </w:pPr>
    </w:p>
    <w:p w14:paraId="01824309">
      <w:pPr>
        <w:adjustRightInd w:val="0"/>
        <w:snapToGrid w:val="0"/>
        <w:spacing w:line="240" w:lineRule="auto"/>
        <w:jc w:val="center"/>
        <w:rPr>
          <w:rFonts w:hint="eastAsia" w:ascii="仿宋_GB2312"/>
          <w:snapToGrid/>
        </w:rPr>
      </w:pPr>
    </w:p>
    <w:p w14:paraId="20CB28D9">
      <w:pPr>
        <w:suppressLineNumbers w:val="0"/>
        <w:kinsoku/>
        <w:wordWrap/>
        <w:overflowPunct/>
        <w:topLinePunct w:val="0"/>
        <w:autoSpaceDE/>
        <w:autoSpaceDN/>
        <w:bidi w:val="0"/>
        <w:adjustRightInd w:val="0"/>
        <w:snapToGrid w:val="0"/>
        <w:spacing w:before="0" w:after="0" w:line="240" w:lineRule="auto"/>
        <w:contextualSpacing w:val="0"/>
        <w:jc w:val="center"/>
      </w:pPr>
      <w:r>
        <w:rPr>
          <w:rFonts w:ascii="方正小标宋简体" w:hAnsi="方正小标宋简体" w:eastAsia="方正小标宋简体" w:cs="方正小标宋简体"/>
          <w:color w:val="000000"/>
          <w:sz w:val="44"/>
        </w:rPr>
        <w:t>关于印发《</w:t>
      </w:r>
      <w:r>
        <w:rPr>
          <w:rFonts w:hint="default" w:ascii="方正小标宋简体" w:hAnsi="方正小标宋简体" w:eastAsia="方正小标宋简体" w:cs="方正小标宋简体"/>
          <w:snapToGrid/>
          <w:color w:val="000000"/>
          <w:kern w:val="2"/>
          <w:sz w:val="44"/>
        </w:rPr>
        <w:t>新乡医学院三全学院</w:t>
      </w:r>
    </w:p>
    <w:p w14:paraId="1BAED0C8">
      <w:pPr>
        <w:suppressLineNumbers w:val="0"/>
        <w:kinsoku/>
        <w:wordWrap/>
        <w:overflowPunct/>
        <w:topLinePunct w:val="0"/>
        <w:autoSpaceDE/>
        <w:autoSpaceDN/>
        <w:bidi w:val="0"/>
        <w:adjustRightInd w:val="0"/>
        <w:snapToGrid w:val="0"/>
        <w:spacing w:before="0" w:after="0" w:line="240" w:lineRule="auto"/>
        <w:contextualSpacing w:val="0"/>
        <w:jc w:val="center"/>
        <w:rPr>
          <w:rFonts w:hint="default" w:ascii="方正小标宋简体" w:hAnsi="方正小标宋简体" w:eastAsia="方正小标宋简体" w:cs="方正小标宋简体"/>
        </w:rPr>
      </w:pPr>
      <w:r>
        <w:rPr>
          <w:rFonts w:hint="default" w:ascii="方正小标宋简体" w:hAnsi="方正小标宋简体" w:eastAsia="方正小标宋简体" w:cs="方正小标宋简体"/>
          <w:snapToGrid/>
          <w:color w:val="000000"/>
          <w:kern w:val="2"/>
          <w:sz w:val="44"/>
        </w:rPr>
        <w:t>普通高等教育学士学位授予工作实施细则</w:t>
      </w:r>
      <w:r>
        <w:rPr>
          <w:rFonts w:ascii="方正小标宋简体" w:hAnsi="方正小标宋简体" w:eastAsia="方正小标宋简体" w:cs="方正小标宋简体"/>
          <w:color w:val="000000"/>
          <w:sz w:val="44"/>
        </w:rPr>
        <w:t>》的通    知</w:t>
      </w:r>
    </w:p>
    <w:p w14:paraId="345D4F20">
      <w:pPr>
        <w:pBdr>
          <w:top w:val="none" w:color="000000" w:sz="0" w:space="0"/>
          <w:left w:val="none" w:color="000000" w:sz="0" w:space="0"/>
          <w:bottom w:val="none" w:color="000000" w:sz="0" w:space="0"/>
          <w:right w:val="none" w:color="000000" w:sz="0" w:space="0"/>
        </w:pBdr>
        <w:snapToGrid w:val="0"/>
        <w:spacing w:before="0" w:after="0" w:line="240" w:lineRule="auto"/>
        <w:ind w:left="0" w:right="0" w:firstLine="0"/>
        <w:jc w:val="both"/>
        <w:rPr>
          <w:rFonts w:ascii="仿宋_GB2312" w:hAnsi="仿宋_GB2312" w:eastAsia="仿宋_GB2312" w:cs="仿宋_GB2312"/>
          <w:sz w:val="32"/>
          <w:szCs w:val="32"/>
        </w:rPr>
      </w:pPr>
    </w:p>
    <w:p w14:paraId="4095EF0C">
      <w:pPr>
        <w:pBdr>
          <w:top w:val="none" w:color="000000" w:sz="0" w:space="0"/>
          <w:left w:val="none" w:color="000000" w:sz="0" w:space="0"/>
          <w:bottom w:val="none" w:color="000000" w:sz="0" w:space="0"/>
          <w:right w:val="none" w:color="000000" w:sz="0" w:space="0"/>
        </w:pBdr>
        <w:snapToGrid w:val="0"/>
        <w:spacing w:before="0" w:after="0" w:line="597" w:lineRule="exact"/>
        <w:ind w:left="0" w:right="0" w:firstLine="0"/>
        <w:jc w:val="both"/>
        <w:rPr>
          <w:rFonts w:ascii="仿宋_GB2312" w:hAnsi="仿宋_GB2312" w:eastAsia="仿宋_GB2312" w:cs="仿宋_GB2312"/>
          <w:snapToGrid/>
          <w:color w:val="000000"/>
          <w:sz w:val="32"/>
          <w:szCs w:val="32"/>
          <w:highlight w:val="none"/>
        </w:rPr>
      </w:pPr>
      <w:r>
        <w:rPr>
          <w:rFonts w:ascii="仿宋_GB2312" w:hAnsi="仿宋_GB2312" w:eastAsia="仿宋_GB2312" w:cs="仿宋_GB2312"/>
          <w:color w:val="000000"/>
          <w:sz w:val="32"/>
        </w:rPr>
        <w:t>学校各单位：</w:t>
      </w:r>
    </w:p>
    <w:p w14:paraId="5BA49EBB">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ascii="仿宋_GB2312" w:hAnsi="仿宋_GB2312" w:eastAsia="仿宋_GB2312" w:cs="仿宋_GB2312"/>
          <w:snapToGrid/>
          <w:color w:val="000000"/>
          <w:kern w:val="0"/>
          <w:sz w:val="32"/>
          <w:szCs w:val="32"/>
        </w:rPr>
        <w:t>现将《</w:t>
      </w:r>
      <w:r>
        <w:rPr>
          <w:rFonts w:hint="default" w:ascii="仿宋_GB2312" w:hAnsi="仿宋_GB2312" w:eastAsia="仿宋_GB2312" w:cs="仿宋_GB2312"/>
          <w:snapToGrid/>
          <w:color w:val="000000"/>
          <w:kern w:val="0"/>
          <w:sz w:val="32"/>
          <w:szCs w:val="32"/>
        </w:rPr>
        <w:t>新乡医学院三全学院普通高等教育学士学位授予工作实施细则</w:t>
      </w:r>
      <w:r>
        <w:rPr>
          <w:rFonts w:ascii="仿宋_GB2312" w:hAnsi="仿宋_GB2312" w:eastAsia="仿宋_GB2312" w:cs="仿宋_GB2312"/>
          <w:snapToGrid/>
          <w:color w:val="000000"/>
          <w:kern w:val="0"/>
          <w:sz w:val="32"/>
          <w:szCs w:val="32"/>
        </w:rPr>
        <w:t>》印发给你们，望遵照执行。</w:t>
      </w:r>
    </w:p>
    <w:p w14:paraId="3D241C86">
      <w:pPr>
        <w:pBdr>
          <w:top w:val="none" w:color="000000" w:sz="0" w:space="0"/>
          <w:left w:val="none" w:color="000000" w:sz="0" w:space="0"/>
          <w:bottom w:val="none" w:color="000000" w:sz="0" w:space="0"/>
          <w:right w:val="none" w:color="000000" w:sz="0" w:space="0"/>
        </w:pBdr>
        <w:snapToGrid w:val="0"/>
        <w:spacing w:before="0" w:after="0" w:line="240" w:lineRule="auto"/>
        <w:ind w:left="0" w:right="640" w:firstLine="0"/>
        <w:jc w:val="both"/>
        <w:rPr>
          <w:rFonts w:ascii="仿宋_GB2312" w:hAnsi="仿宋_GB2312" w:eastAsia="仿宋_GB2312" w:cs="仿宋_GB2312"/>
          <w:szCs w:val="32"/>
        </w:rPr>
      </w:pPr>
    </w:p>
    <w:p w14:paraId="01EC36D1">
      <w:pPr>
        <w:pBdr>
          <w:top w:val="none" w:color="000000" w:sz="0" w:space="0"/>
          <w:left w:val="none" w:color="000000" w:sz="0" w:space="0"/>
          <w:bottom w:val="none" w:color="000000" w:sz="0" w:space="0"/>
          <w:right w:val="none" w:color="000000" w:sz="0" w:space="0"/>
        </w:pBdr>
        <w:snapToGrid w:val="0"/>
        <w:spacing w:before="0" w:after="0" w:line="597" w:lineRule="exact"/>
        <w:ind w:left="0" w:right="640" w:firstLine="0"/>
        <w:jc w:val="both"/>
      </w:pPr>
    </w:p>
    <w:p w14:paraId="5A4B83C5">
      <w:pPr>
        <w:pBdr>
          <w:top w:val="none" w:color="000000" w:sz="0" w:space="0"/>
          <w:left w:val="none" w:color="000000" w:sz="0" w:space="0"/>
          <w:bottom w:val="none" w:color="000000" w:sz="0" w:space="0"/>
          <w:right w:val="none" w:color="000000" w:sz="0" w:space="0"/>
        </w:pBdr>
        <w:snapToGrid w:val="0"/>
        <w:spacing w:before="0" w:after="0" w:line="597" w:lineRule="exact"/>
        <w:ind w:left="0" w:right="960" w:firstLine="0"/>
        <w:jc w:val="right"/>
      </w:pPr>
      <w:r>
        <w:rPr>
          <w:rFonts w:ascii="仿宋_GB2312" w:hAnsi="仿宋_GB2312" w:eastAsia="仿宋_GB2312" w:cs="仿宋_GB2312"/>
          <w:color w:val="000000"/>
          <w:sz w:val="32"/>
        </w:rPr>
        <w:t>新乡医学院三全学院</w:t>
      </w:r>
    </w:p>
    <w:p w14:paraId="086AB353">
      <w:pPr>
        <w:pBdr>
          <w:top w:val="none" w:color="000000" w:sz="0" w:space="0"/>
          <w:left w:val="none" w:color="000000" w:sz="0" w:space="0"/>
          <w:bottom w:val="none" w:color="000000" w:sz="0" w:space="0"/>
          <w:right w:val="none" w:color="000000" w:sz="0" w:space="0"/>
        </w:pBdr>
        <w:snapToGrid w:val="0"/>
        <w:spacing w:before="0" w:after="0" w:line="597" w:lineRule="exact"/>
        <w:ind w:left="0" w:right="1280" w:firstLine="0"/>
        <w:jc w:val="right"/>
      </w:pPr>
      <w:r>
        <w:rPr>
          <w:rFonts w:ascii="仿宋_GB2312" w:hAnsi="仿宋_GB2312" w:eastAsia="仿宋_GB2312" w:cs="仿宋_GB2312"/>
          <w:color w:val="000000"/>
          <w:sz w:val="32"/>
        </w:rPr>
        <w:t>2025年6月4日</w:t>
      </w:r>
    </w:p>
    <w:p w14:paraId="60A9E7C7">
      <w:pPr>
        <w:suppressLineNumbers w:val="0"/>
        <w:kinsoku/>
        <w:wordWrap/>
        <w:overflowPunct/>
        <w:topLinePunct w:val="0"/>
        <w:autoSpaceDE/>
        <w:autoSpaceDN/>
        <w:bidi w:val="0"/>
        <w:adjustRightInd w:val="0"/>
        <w:snapToGrid w:val="0"/>
        <w:spacing w:before="0" w:after="0" w:line="240" w:lineRule="auto"/>
        <w:contextualSpacing w:val="0"/>
        <w:jc w:val="center"/>
        <w:rPr>
          <w:rFonts w:hint="default" w:ascii="方正小标宋简体" w:hAnsi="方正小标宋简体" w:eastAsia="方正小标宋简体" w:cs="方正小标宋简体"/>
          <w:snapToGrid/>
          <w:kern w:val="2"/>
        </w:rPr>
      </w:pPr>
    </w:p>
    <w:p w14:paraId="0ECD2580">
      <w:pPr>
        <w:suppressLineNumbers w:val="0"/>
        <w:kinsoku/>
        <w:wordWrap/>
        <w:overflowPunct/>
        <w:topLinePunct w:val="0"/>
        <w:autoSpaceDE/>
        <w:autoSpaceDN/>
        <w:bidi w:val="0"/>
        <w:adjustRightInd w:val="0"/>
        <w:snapToGrid w:val="0"/>
        <w:spacing w:before="0" w:after="0" w:line="240" w:lineRule="auto"/>
        <w:contextualSpacing w:val="0"/>
        <w:jc w:val="center"/>
        <w:rPr>
          <w:rFonts w:hint="default" w:ascii="方正小标宋简体" w:hAnsi="方正小标宋简体" w:eastAsia="方正小标宋简体" w:cs="方正小标宋简体"/>
          <w:snapToGrid/>
          <w:color w:val="000000"/>
          <w:kern w:val="2"/>
          <w:sz w:val="44"/>
          <w:szCs w:val="44"/>
          <w:highlight w:val="none"/>
        </w:rPr>
      </w:pPr>
    </w:p>
    <w:p w14:paraId="60CDE190">
      <w:pPr>
        <w:suppressLineNumbers w:val="0"/>
        <w:kinsoku/>
        <w:wordWrap/>
        <w:overflowPunct/>
        <w:topLinePunct w:val="0"/>
        <w:autoSpaceDE/>
        <w:autoSpaceDN/>
        <w:bidi w:val="0"/>
        <w:adjustRightInd w:val="0"/>
        <w:snapToGrid w:val="0"/>
        <w:spacing w:before="0" w:after="0" w:line="240" w:lineRule="auto"/>
        <w:contextualSpacing w:val="0"/>
        <w:jc w:val="center"/>
        <w:rPr>
          <w:rFonts w:hint="default" w:ascii="方正小标宋简体" w:hAnsi="方正小标宋简体" w:eastAsia="方正小标宋简体" w:cs="方正小标宋简体"/>
          <w:snapToGrid/>
          <w:color w:val="000000"/>
          <w:kern w:val="2"/>
          <w:sz w:val="44"/>
          <w:szCs w:val="44"/>
          <w:highlight w:val="none"/>
        </w:rPr>
      </w:pPr>
    </w:p>
    <w:p w14:paraId="5825588F">
      <w:pPr>
        <w:suppressLineNumbers w:val="0"/>
        <w:kinsoku/>
        <w:wordWrap/>
        <w:overflowPunct/>
        <w:topLinePunct w:val="0"/>
        <w:autoSpaceDE/>
        <w:autoSpaceDN/>
        <w:bidi w:val="0"/>
        <w:adjustRightInd w:val="0"/>
        <w:snapToGrid w:val="0"/>
        <w:spacing w:before="0" w:after="0" w:line="240" w:lineRule="auto"/>
        <w:contextualSpacing w:val="0"/>
        <w:jc w:val="center"/>
        <w:rPr>
          <w:rFonts w:hint="default" w:ascii="方正小标宋简体" w:hAnsi="方正小标宋简体" w:eastAsia="方正小标宋简体" w:cs="方正小标宋简体"/>
          <w:snapToGrid/>
          <w:color w:val="000000"/>
          <w:kern w:val="2"/>
          <w:sz w:val="44"/>
          <w:szCs w:val="44"/>
          <w:highlight w:val="none"/>
        </w:rPr>
      </w:pPr>
    </w:p>
    <w:p w14:paraId="01D1A524">
      <w:pPr>
        <w:suppressLineNumbers w:val="0"/>
        <w:kinsoku/>
        <w:wordWrap/>
        <w:overflowPunct/>
        <w:topLinePunct w:val="0"/>
        <w:autoSpaceDE/>
        <w:autoSpaceDN/>
        <w:bidi w:val="0"/>
        <w:adjustRightInd w:val="0"/>
        <w:snapToGrid w:val="0"/>
        <w:spacing w:before="0" w:after="0" w:line="240" w:lineRule="auto"/>
        <w:contextualSpacing w:val="0"/>
        <w:jc w:val="center"/>
        <w:rPr>
          <w:rFonts w:hint="default" w:ascii="方正小标宋简体" w:hAnsi="方正小标宋简体" w:eastAsia="方正小标宋简体" w:cs="方正小标宋简体"/>
          <w:snapToGrid/>
          <w:color w:val="000000"/>
          <w:kern w:val="2"/>
          <w:sz w:val="44"/>
          <w:szCs w:val="44"/>
          <w:highlight w:val="none"/>
        </w:rPr>
      </w:pPr>
      <w:bookmarkStart w:id="1" w:name="Content"/>
      <w:bookmarkEnd w:id="1"/>
      <w:r>
        <w:rPr>
          <w:rFonts w:hint="default" w:ascii="方正小标宋简体" w:hAnsi="方正小标宋简体" w:eastAsia="方正小标宋简体" w:cs="方正小标宋简体"/>
          <w:snapToGrid/>
          <w:color w:val="000000"/>
          <w:kern w:val="2"/>
          <w:sz w:val="44"/>
        </w:rPr>
        <w:t>新乡医学院三全学院</w:t>
      </w:r>
    </w:p>
    <w:p w14:paraId="1A2BD630">
      <w:pPr>
        <w:suppressLineNumbers w:val="0"/>
        <w:kinsoku/>
        <w:wordWrap/>
        <w:overflowPunct/>
        <w:topLinePunct w:val="0"/>
        <w:autoSpaceDE/>
        <w:autoSpaceDN/>
        <w:bidi w:val="0"/>
        <w:adjustRightInd w:val="0"/>
        <w:snapToGrid w:val="0"/>
        <w:spacing w:before="0" w:after="0" w:line="240" w:lineRule="auto"/>
        <w:contextualSpacing w:val="0"/>
        <w:jc w:val="center"/>
        <w:rPr>
          <w:rFonts w:hint="default" w:ascii="方正小标宋简体" w:hAnsi="方正小标宋简体" w:eastAsia="方正小标宋简体" w:cs="方正小标宋简体"/>
          <w:snapToGrid/>
          <w:kern w:val="2"/>
        </w:rPr>
      </w:pPr>
      <w:r>
        <w:rPr>
          <w:rFonts w:hint="default" w:ascii="方正小标宋简体" w:hAnsi="方正小标宋简体" w:eastAsia="方正小标宋简体" w:cs="方正小标宋简体"/>
          <w:snapToGrid/>
          <w:color w:val="000000"/>
          <w:kern w:val="2"/>
          <w:sz w:val="44"/>
        </w:rPr>
        <w:t>普通高等教育学士学位授予工作实施细则</w:t>
      </w:r>
    </w:p>
    <w:p w14:paraId="7FA50E09">
      <w:pPr>
        <w:pBdr>
          <w:top w:val="none" w:color="000000" w:sz="0" w:space="0"/>
          <w:left w:val="none" w:color="000000" w:sz="0" w:space="0"/>
          <w:bottom w:val="none" w:color="000000" w:sz="0" w:space="0"/>
          <w:right w:val="none" w:color="000000" w:sz="0" w:space="0"/>
        </w:pBdr>
        <w:snapToGrid w:val="0"/>
        <w:spacing w:before="0" w:after="0" w:line="240" w:lineRule="auto"/>
        <w:ind w:left="0" w:right="0" w:firstLine="640"/>
        <w:jc w:val="both"/>
        <w:rPr>
          <w:rFonts w:hint="default"/>
        </w:rPr>
      </w:pPr>
    </w:p>
    <w:p w14:paraId="2E2C54D0">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after="0" w:line="597" w:lineRule="exact"/>
        <w:ind w:left="0" w:right="0" w:firstLine="0"/>
        <w:contextualSpacing w:val="0"/>
        <w:jc w:val="center"/>
        <w:rPr>
          <w:rFonts w:hint="default"/>
          <w:snapToGrid/>
          <w:kern w:val="2"/>
        </w:rPr>
      </w:pPr>
      <w:r>
        <w:rPr>
          <w:rFonts w:hint="default" w:ascii="黑体" w:hAnsi="黑体" w:eastAsia="黑体" w:cs="黑体"/>
          <w:snapToGrid/>
          <w:color w:val="000000"/>
          <w:kern w:val="2"/>
          <w:sz w:val="32"/>
        </w:rPr>
        <w:t>第一章  总  则</w:t>
      </w:r>
    </w:p>
    <w:p w14:paraId="7194A46B">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第一条  为做好学校普通高等教育本科毕业生学士学位授予工作，根据《中华人民共和国学位法》等有关法律、法规，结合学校实际，特制定本细则。</w:t>
      </w:r>
    </w:p>
    <w:p w14:paraId="7DD42B42">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第二条  学校学士学位授予工作坚持中国共产党的领导，全面贯彻国家的教育方针，践行社会主义核心价值观，落实立德树人根本任务，遵循教育规律，坚持“公平、公正、公开”，坚持学术自由与学术规范相统一，促进创新发展，提高人才自主培养质量。</w:t>
      </w:r>
    </w:p>
    <w:p w14:paraId="0583D775">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第三条  拥护中国共产党的领导，拥护社会主义制度，在我校接受本科教育，达到学业要求、学术水平或专业水平的学生，可以依照本细则规定申请学位。</w:t>
      </w:r>
    </w:p>
    <w:p w14:paraId="373F6F48">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第四条  学校按照国务院学位委员会批准和备案的学科门类、专业学位类别授予学士学位。</w:t>
      </w:r>
    </w:p>
    <w:p w14:paraId="1A11ABA1">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after="0" w:line="597" w:lineRule="exact"/>
        <w:ind w:left="0" w:right="0" w:firstLine="0"/>
        <w:contextualSpacing w:val="0"/>
        <w:jc w:val="center"/>
        <w:rPr>
          <w:rFonts w:hint="default"/>
          <w:snapToGrid/>
          <w:kern w:val="2"/>
        </w:rPr>
      </w:pPr>
      <w:r>
        <w:rPr>
          <w:rFonts w:hint="default" w:ascii="黑体" w:hAnsi="黑体" w:eastAsia="黑体" w:cs="黑体"/>
          <w:snapToGrid/>
          <w:color w:val="000000"/>
          <w:kern w:val="2"/>
          <w:sz w:val="32"/>
        </w:rPr>
        <w:t>第二章  学位工作体制</w:t>
      </w:r>
    </w:p>
    <w:p w14:paraId="64275BCF">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第五条  学校设立学位评定委员会，在河南省学位委员会的指导下，开展学位授予工作。学校学位评定委员会在教学行政管理部门设立办公室，承担日常工作。</w:t>
      </w:r>
    </w:p>
    <w:p w14:paraId="740550A3">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第六条  学位评定委员会履行下列职责：</w:t>
      </w:r>
    </w:p>
    <w:p w14:paraId="29D86FAD">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（一）审议学校学位授予的实施细则和具体标准；</w:t>
      </w:r>
    </w:p>
    <w:p w14:paraId="1DB3BBCA">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（二）审议学位授予点的增设、撤销等事项；</w:t>
      </w:r>
    </w:p>
    <w:p w14:paraId="7A5431C5">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（三）作出授予、不授予、撤销相应学位的决议；</w:t>
      </w:r>
    </w:p>
    <w:p w14:paraId="6E0BE6D8">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（四）研究处理学位授予争议；</w:t>
      </w:r>
    </w:p>
    <w:p w14:paraId="58A6D681">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（五）受理与学位相关的投诉或者举报；</w:t>
      </w:r>
    </w:p>
    <w:p w14:paraId="2254CC4F">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（六）审议其他与学位相关的事项。</w:t>
      </w:r>
    </w:p>
    <w:p w14:paraId="7023122C">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第七条  学位评定委员会由具有高级专业技术职务的学院校长、教学科研人员组成，组成人员为不少于九人的单数。学位评定委员会主席由学院校长担任。</w:t>
      </w:r>
    </w:p>
    <w:p w14:paraId="208C7660">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学位评定委员会以会议的方式作出决议。审议本细则第六条第一项至第四项所列事项或者其他重大事项的，会议应当有全体组成人员的三分之二以上出席。决议事项以投票方式表决，由全体组成人员的过半数通过。</w:t>
      </w:r>
    </w:p>
    <w:p w14:paraId="3D0B7E54">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第八条  学位评定委员会的组成人员、任期、职责分工、工作程序等由学校确定并公布。</w:t>
      </w:r>
    </w:p>
    <w:p w14:paraId="726E05C3">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after="0" w:line="597" w:lineRule="exact"/>
        <w:ind w:left="0" w:right="0" w:firstLine="0"/>
        <w:contextualSpacing w:val="0"/>
        <w:jc w:val="center"/>
        <w:rPr>
          <w:rFonts w:hint="default"/>
          <w:snapToGrid/>
          <w:kern w:val="2"/>
        </w:rPr>
      </w:pPr>
      <w:r>
        <w:rPr>
          <w:rFonts w:hint="default" w:ascii="黑体" w:hAnsi="黑体" w:eastAsia="黑体" w:cs="黑体"/>
          <w:snapToGrid/>
          <w:color w:val="000000"/>
          <w:kern w:val="2"/>
          <w:sz w:val="32"/>
        </w:rPr>
        <w:t>第三章  学位授予条件</w:t>
      </w:r>
    </w:p>
    <w:p w14:paraId="29C0F1B9">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第九条  学位申请人应当拥护中国共产党的领导，拥护社会主义制度，遵守宪法和法律，遵守学术道德和学术规范。在我校接受本科教育，达到学业要求、学术水平或专业水平，学校依照本细则第十条规定的条件授予学位。</w:t>
      </w:r>
    </w:p>
    <w:p w14:paraId="15D81AA5">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第十条  通过规定的课程考核、修满相应学分，通过毕业论文或者毕业设计等毕业环节审查，表明学位申请人达到下列水平的，授予学士学位：</w:t>
      </w:r>
    </w:p>
    <w:p w14:paraId="3706EBE8">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（一）在本学科或者专业领域较好地掌握基础理论、专门知识和基本技能；</w:t>
      </w:r>
    </w:p>
    <w:p w14:paraId="79F2608F">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（二）具有从事学术研究或者承担专业实践工作的初步能力。</w:t>
      </w:r>
    </w:p>
    <w:p w14:paraId="625660AC">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after="0" w:line="597" w:lineRule="exact"/>
        <w:ind w:left="0" w:right="0" w:firstLine="0"/>
        <w:contextualSpacing w:val="0"/>
        <w:jc w:val="center"/>
        <w:rPr>
          <w:rFonts w:hint="default"/>
          <w:snapToGrid/>
          <w:kern w:val="2"/>
        </w:rPr>
      </w:pPr>
      <w:r>
        <w:rPr>
          <w:rFonts w:hint="default" w:ascii="黑体" w:hAnsi="黑体" w:eastAsia="黑体" w:cs="黑体"/>
          <w:snapToGrid/>
          <w:color w:val="000000"/>
          <w:kern w:val="2"/>
          <w:sz w:val="32"/>
        </w:rPr>
        <w:t>第四章  学位授予程序</w:t>
      </w:r>
    </w:p>
    <w:p w14:paraId="7A786367">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第十一条  符合本细则规定的学校本科毕业生，应按照学校要求提交申请材料，申请相应学位。学位申请应在最长修读年限内完成（学校</w:t>
      </w:r>
      <w:bookmarkStart w:id="2" w:name="_GoBack"/>
      <w:r>
        <w:rPr>
          <w:rFonts w:hint="default" w:ascii="仿宋_GB2312" w:hAnsi="仿宋_GB2312" w:eastAsia="仿宋_GB2312" w:cs="仿宋_GB2312"/>
          <w:snapToGrid/>
          <w:color w:val="000000"/>
          <w:kern w:val="0"/>
          <w:sz w:val="32"/>
          <w:szCs w:val="32"/>
        </w:rPr>
        <w:t>五年制本科最长修读年限为八年，四年制本科最长修读年限为七年，三年制专升本最长修读年限为六年，两年制专升本最长修读年限为五年，国际学生最长修读年限为九年</w:t>
      </w:r>
      <w:bookmarkEnd w:id="2"/>
      <w:r>
        <w:rPr>
          <w:rFonts w:hint="default" w:ascii="仿宋_GB2312" w:hAnsi="仿宋_GB2312" w:eastAsia="仿宋_GB2312" w:cs="仿宋_GB2312"/>
          <w:snapToGrid/>
          <w:color w:val="000000"/>
          <w:kern w:val="0"/>
          <w:sz w:val="32"/>
          <w:szCs w:val="32"/>
        </w:rPr>
        <w:t>）。学校自申请日期截止之日起六十日内审查决定是否受理申请，并通知申请人。</w:t>
      </w:r>
    </w:p>
    <w:p w14:paraId="1992A543">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第十二条  申请学位的，由学校学位评定委员会组织审查，作出是否授予学士学位的决议。</w:t>
      </w:r>
    </w:p>
    <w:p w14:paraId="1A723D70">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第十三条  学校根据学位评定委员会授予学士学位的决议，公布授予学位的人员名单，颁发学位证书，并向河南省学位委员会报送学位授予信息。学位证书按国务院学位委员会相关规定制作，证书生效日期为学校学位评定委员会批准授予学位的日期。</w:t>
      </w:r>
    </w:p>
    <w:p w14:paraId="026B320C">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第十四条  学位证书遗失或损坏不予补发。经本人申请，学校核实后出具相应的学位证明书，学位证明书注明原学位证书编号等内容。学位证明书与学位证书具有同等效力。</w:t>
      </w:r>
    </w:p>
    <w:p w14:paraId="2E931EEE">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第十五条  学校依照国家有关保密规定保存学位申请人的申请材料和学位论文、实践成果等档案资料。</w:t>
      </w:r>
    </w:p>
    <w:p w14:paraId="548BC29F">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after="0" w:line="597" w:lineRule="exact"/>
        <w:ind w:left="0" w:right="0" w:firstLine="0"/>
        <w:contextualSpacing w:val="0"/>
        <w:jc w:val="center"/>
        <w:rPr>
          <w:rFonts w:hint="default"/>
          <w:snapToGrid/>
          <w:kern w:val="2"/>
        </w:rPr>
      </w:pPr>
      <w:r>
        <w:rPr>
          <w:rFonts w:hint="default" w:ascii="黑体" w:hAnsi="黑体" w:eastAsia="黑体" w:cs="黑体"/>
          <w:snapToGrid/>
          <w:color w:val="000000"/>
          <w:kern w:val="2"/>
          <w:sz w:val="32"/>
        </w:rPr>
        <w:t>第五章  学位质量保障</w:t>
      </w:r>
    </w:p>
    <w:p w14:paraId="52D433C1">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第十六条  学校建立学位质量保障制度，加强招生、培养、学位授予等全过程质量管理，及时公开相关信息，接受社会监督，保证授予学位的质量。</w:t>
      </w:r>
    </w:p>
    <w:p w14:paraId="131E781D">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第十七条  学位申请人、学位获得者在攻读该学位过程中有下列情形之一的，经学位评定委员会决议，学校不授予学位或者撤销学位：</w:t>
      </w:r>
    </w:p>
    <w:p w14:paraId="091BF61A">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（一）考试作弊的；</w:t>
      </w:r>
    </w:p>
    <w:p w14:paraId="0331EF42">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（二）未达到毕业要求按结业处理的；</w:t>
      </w:r>
    </w:p>
    <w:p w14:paraId="20EBE698">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（三）符合毕业条件，但必修课程平均学分绩点小于1.8的；</w:t>
      </w:r>
    </w:p>
    <w:p w14:paraId="03E22509">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（四）学位论文或者实践成果被认定为存在代写、剽窃、伪造等学术不端行为的；</w:t>
      </w:r>
    </w:p>
    <w:p w14:paraId="0BCAAC56">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（五）盗用、冒用他人身份，顶替他人取得的入学资格，或者以其他非法手段取得入学资格、毕业证书的；</w:t>
      </w:r>
    </w:p>
    <w:p w14:paraId="353DBE84">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（六）攻读期间存在依法不应当授予学位的其他严重违法行为的。</w:t>
      </w:r>
    </w:p>
    <w:p w14:paraId="651165CE">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第十八条  学校拟作出不授予学位或者撤销学位决定的，告知学位申请人或者学位获得者拟作出决定的内容及事实、理由、依据，听取其陈述与申辩。</w:t>
      </w:r>
    </w:p>
    <w:p w14:paraId="6A0382B2">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第十九条  学位申请人因第十七条第一项原因不授予学位，毕业时有下列情形之一的，可向学校学位评定委员会提出书面申请，经学校学位评定委员会决议通过后，可恢复其学位授予资格。第十七条第一项情节发生之前获得的荣誉或者学术成果，不能作为恢复学士学位授予资格的依据。</w:t>
      </w:r>
    </w:p>
    <w:p w14:paraId="16688244">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一）最长修读年限内必修课程平均学分绩点达3.0（含3.0）以上的；考取硕士研究生、考取公务员、选调生、特岗教师的，参军入伍的；签署“大学生志愿服务西部计划”“援疆援藏计划”“大学生志愿服务贫困乡村振兴计划”“三支一扶计划”服务协议并参与相应项目的。</w:t>
      </w:r>
    </w:p>
    <w:p w14:paraId="04724706">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（二）获得国家级或省部级科学技术奖励，获奖单位为新乡医学院三全学院或豫北医学院的；</w:t>
      </w:r>
    </w:p>
    <w:p w14:paraId="316A0AC8">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（三）第一作者在中文核心及以上级别期刊上发表与本专业相关的学术论文一篇（含）以上，署名单位为“新乡医学院三全学院”“豫北医学院”或“Sanquan College of Xinxiang Medical University”“North Henan Medical University”的；</w:t>
      </w:r>
    </w:p>
    <w:p w14:paraId="2EFA21D6">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（四）获得国家发明专利，本人为专利第一所有人且专利权所属单位为新乡医学院三全学院或豫北医学院的；</w:t>
      </w:r>
    </w:p>
    <w:p w14:paraId="0A4F748D">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五）个人或团队代表学校参加省级及以上学科竞赛（竞赛级别以当年教育部公布的《全国普通高校大学生竞赛分析报告》竞赛目录或河南省教育厅公布的竞赛目录为准），获二等及以上奖励的（本人排名位于前三），参赛单位为新乡医学院三全学院或豫北医学院的。</w:t>
      </w:r>
    </w:p>
    <w:p w14:paraId="5718D9BE">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第二十条  学位申请人因第十七条第二或第三项原因不授予学位的，可在最长修读年限内参加相关课程的重修学习，达到学位授予条件的，可重新申请授予学位。</w:t>
      </w:r>
    </w:p>
    <w:p w14:paraId="5CA19E70">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第二十一条  学位申请人对专家评阅、答辩、成果认定等过程中相关学术组织或者人员作出的学术评价结论有异议的，可以申请学术复核。学校自受理学术复核申请之日起三十日内重新组织专家进行复核并作出复核决定。复核决定为最终决定。</w:t>
      </w:r>
    </w:p>
    <w:p w14:paraId="4B8E54E3">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第二十二条  学位申请人或者学位获得者对不受理其学位申请、不授予其学位或者撤销其学位等行为不服的，可以向学校学位评定委员会申请复核，或者请求有关机关依照法律规定处理。学位申请人或者学位获得者申请复核的，学校自受理复核申请之日起三十日内进行复核并作出复核决定。</w:t>
      </w:r>
    </w:p>
    <w:p w14:paraId="327AA90B">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val="0"/>
        <w:snapToGrid w:val="0"/>
        <w:spacing w:before="0" w:after="0" w:line="597" w:lineRule="exact"/>
        <w:ind w:left="0" w:right="0" w:firstLine="0"/>
        <w:contextualSpacing w:val="0"/>
        <w:jc w:val="center"/>
        <w:rPr>
          <w:rFonts w:hint="default"/>
          <w:snapToGrid/>
          <w:kern w:val="2"/>
        </w:rPr>
      </w:pPr>
      <w:r>
        <w:rPr>
          <w:rFonts w:hint="default" w:ascii="黑体" w:hAnsi="黑体" w:eastAsia="黑体" w:cs="黑体"/>
          <w:snapToGrid/>
          <w:color w:val="000000"/>
          <w:kern w:val="2"/>
          <w:sz w:val="32"/>
        </w:rPr>
        <w:t>第六章  附  则</w:t>
      </w:r>
    </w:p>
    <w:p w14:paraId="72082DD4">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第二十三条  学校国际学生的学位申请与授予工作按照本细则执行。</w:t>
      </w:r>
    </w:p>
    <w:p w14:paraId="176E6F22">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第二十四条  本细则由学校学位评定委员会办公室负责解释。</w:t>
      </w:r>
    </w:p>
    <w:p w14:paraId="0D19F99E">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exact"/>
        <w:ind w:left="0" w:leftChars="0" w:right="0" w:firstLine="640" w:firstLineChars="200"/>
        <w:contextualSpacing w:val="0"/>
        <w:jc w:val="both"/>
        <w:rPr>
          <w:rFonts w:hint="default" w:ascii="仿宋_GB2312" w:hAnsi="仿宋_GB2312" w:eastAsia="仿宋_GB2312" w:cs="仿宋_GB2312"/>
          <w:snapToGrid/>
          <w:color w:val="000000"/>
          <w:kern w:val="0"/>
          <w:sz w:val="32"/>
          <w:szCs w:val="32"/>
          <w14:ligatures w14:val="none"/>
        </w:rPr>
      </w:pPr>
      <w:r>
        <w:rPr>
          <w:rFonts w:hint="default" w:ascii="仿宋_GB2312" w:hAnsi="仿宋_GB2312" w:eastAsia="仿宋_GB2312" w:cs="仿宋_GB2312"/>
          <w:snapToGrid/>
          <w:color w:val="000000"/>
          <w:kern w:val="0"/>
          <w:sz w:val="32"/>
          <w:szCs w:val="32"/>
        </w:rPr>
        <w:t>第二十五条  本细则自发布之日起施行，原《新乡医学院三全学院学士学位授予工作实施细则》（院发〔2016〕29号）同时废止。</w:t>
      </w:r>
    </w:p>
    <w:p w14:paraId="2AE586CA">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snapToGrid/>
        </w:rPr>
        <w:sectPr>
          <w:footerReference r:id="rId4" w:type="default"/>
          <w:headerReference r:id="rId3" w:type="even"/>
          <w:footerReference r:id="rId5" w:type="even"/>
          <w:pgSz w:w="11906" w:h="16838"/>
          <w:pgMar w:top="2098" w:right="1327" w:bottom="1588" w:left="1644" w:header="720" w:footer="720" w:gutter="0"/>
          <w:pgNumType w:start="1"/>
          <w:cols w:space="720" w:num="1"/>
          <w:docGrid w:type="linesAndChars" w:linePitch="597" w:charSpace="-183"/>
        </w:sectPr>
      </w:pPr>
    </w:p>
    <w:p w14:paraId="06DF35C2">
      <w:pPr>
        <w:pBdr>
          <w:top w:val="none" w:color="000000" w:sz="0" w:space="0"/>
          <w:left w:val="none" w:color="000000" w:sz="0" w:space="0"/>
          <w:bottom w:val="none" w:color="000000" w:sz="0" w:space="0"/>
          <w:right w:val="none" w:color="000000" w:sz="0" w:space="0"/>
        </w:pBdr>
        <w:spacing w:before="0" w:after="0" w:line="85" w:lineRule="atLeast"/>
        <w:ind w:left="0" w:right="0" w:firstLine="640"/>
        <w:jc w:val="both"/>
        <w:rPr>
          <w:rFonts w:hint="default"/>
        </w:rPr>
      </w:pPr>
    </w:p>
    <w:p w14:paraId="79DF8EA6">
      <w:pPr>
        <w:adjustRightInd w:val="0"/>
        <w:snapToGrid w:val="0"/>
        <w:spacing w:line="360" w:lineRule="auto"/>
        <w:ind w:firstLine="640" w:firstLineChars="200"/>
        <w:rPr>
          <w:rFonts w:hint="eastAsia" w:ascii="仿宋_GB2312"/>
        </w:rPr>
      </w:pPr>
    </w:p>
    <w:p w14:paraId="06D841A3">
      <w:pPr>
        <w:snapToGrid w:val="0"/>
        <w:spacing w:line="360" w:lineRule="auto"/>
        <w:rPr>
          <w:rFonts w:hint="eastAsia" w:ascii="仿宋_GB2312"/>
        </w:rPr>
      </w:pPr>
    </w:p>
    <w:p w14:paraId="43B4D4C9">
      <w:pPr>
        <w:snapToGrid w:val="0"/>
        <w:spacing w:line="360" w:lineRule="auto"/>
        <w:rPr>
          <w:rFonts w:hint="eastAsia" w:ascii="仿宋_GB2312"/>
        </w:rPr>
      </w:pPr>
    </w:p>
    <w:p w14:paraId="72979C47">
      <w:pPr>
        <w:snapToGrid w:val="0"/>
        <w:spacing w:line="360" w:lineRule="auto"/>
        <w:rPr>
          <w:rFonts w:hint="eastAsia" w:ascii="仿宋_GB2312"/>
        </w:rPr>
      </w:pPr>
    </w:p>
    <w:p w14:paraId="1DB483B4">
      <w:pPr>
        <w:snapToGrid w:val="0"/>
        <w:spacing w:line="360" w:lineRule="auto"/>
        <w:rPr>
          <w:rFonts w:hint="eastAsia" w:ascii="仿宋_GB2312"/>
        </w:rPr>
      </w:pPr>
    </w:p>
    <w:p w14:paraId="53873542">
      <w:pPr>
        <w:snapToGrid w:val="0"/>
        <w:spacing w:line="360" w:lineRule="auto"/>
        <w:rPr>
          <w:rFonts w:hint="eastAsia" w:ascii="仿宋_GB2312"/>
        </w:rPr>
      </w:pPr>
    </w:p>
    <w:p w14:paraId="6F367FE0">
      <w:pPr>
        <w:snapToGrid w:val="0"/>
        <w:spacing w:line="360" w:lineRule="auto"/>
        <w:rPr>
          <w:rFonts w:hint="eastAsia" w:ascii="仿宋_GB2312"/>
        </w:rPr>
      </w:pPr>
    </w:p>
    <w:p w14:paraId="32100521">
      <w:pPr>
        <w:snapToGrid w:val="0"/>
        <w:spacing w:line="360" w:lineRule="auto"/>
        <w:rPr>
          <w:rFonts w:hint="eastAsia" w:ascii="仿宋_GB2312"/>
        </w:rPr>
      </w:pPr>
    </w:p>
    <w:p w14:paraId="136CAA4B">
      <w:pPr>
        <w:snapToGrid w:val="0"/>
        <w:spacing w:line="360" w:lineRule="auto"/>
        <w:rPr>
          <w:rFonts w:hint="eastAsia" w:ascii="仿宋_GB2312"/>
        </w:rPr>
      </w:pPr>
    </w:p>
    <w:tbl>
      <w:tblPr>
        <w:tblStyle w:val="30"/>
        <w:tblpPr w:leftFromText="181" w:rightFromText="181" w:vertAnchor="page" w:tblpXSpec="center" w:tblpY="14460"/>
        <w:tblW w:w="0" w:type="auto"/>
        <w:tblCaption w:val="表格3yte"/>
        <w:tblInd w:w="0" w:type="dxa"/>
        <w:tblBorders>
          <w:top w:val="single" w:color="000000" w:sz="8" w:space="0"/>
          <w:left w:val="none" w:color="000000" w:sz="0" w:space="0"/>
          <w:bottom w:val="single" w:color="000000" w:sz="8"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9052"/>
      </w:tblGrid>
      <w:tr w14:paraId="212A2E21">
        <w:tblPrEx>
          <w:tblBorders>
            <w:top w:val="single" w:color="000000" w:sz="8" w:space="0"/>
            <w:left w:val="none" w:color="000000" w:sz="0" w:space="0"/>
            <w:bottom w:val="single" w:color="000000" w:sz="8"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41" w:hRule="atLeast"/>
        </w:trPr>
        <w:tc>
          <w:tcPr>
            <w:tcW w:w="9052" w:type="dxa"/>
            <w:noWrap w:val="0"/>
            <w:vAlign w:val="center"/>
          </w:tcPr>
          <w:p w14:paraId="5F75C643">
            <w:pPr>
              <w:snapToGrid w:val="0"/>
              <w:spacing w:line="579" w:lineRule="exact"/>
              <w:ind w:firstLine="280" w:firstLineChars="100"/>
              <w:rPr>
                <w:rFonts w:ascii="仿宋_GB2312" w:hAnsi="宋体"/>
              </w:rPr>
            </w:pPr>
            <w:r>
              <w:rPr>
                <w:rFonts w:hint="eastAsia" w:ascii="仿宋_GB2312" w:hAnsi="宋体"/>
                <w:sz w:val="28"/>
                <w:szCs w:val="28"/>
              </w:rPr>
              <w:t xml:space="preserve">新乡医学院三全学院院长办公室   </w:t>
            </w:r>
            <w:r>
              <w:rPr>
                <w:rFonts w:hint="eastAsia" w:ascii="仿宋_GB2312" w:hAnsi="宋体"/>
                <w:sz w:val="28"/>
                <w:szCs w:val="28"/>
                <w:lang w:val="en-US" w:eastAsia="zh-CN"/>
              </w:rPr>
              <w:t xml:space="preserve"> </w:t>
            </w:r>
            <w:r>
              <w:rPr>
                <w:rFonts w:hint="eastAsia" w:ascii="仿宋_GB2312" w:hAnsi="宋体"/>
                <w:sz w:val="28"/>
                <w:szCs w:val="28"/>
              </w:rPr>
              <w:t xml:space="preserve">    </w:t>
            </w:r>
            <w:r>
              <w:rPr>
                <w:rFonts w:hint="eastAsia" w:ascii="仿宋_GB2312" w:hAnsi="宋体"/>
                <w:sz w:val="28"/>
                <w:szCs w:val="28"/>
                <w:lang w:val="en-US" w:eastAsia="zh-CN"/>
              </w:rPr>
              <w:t xml:space="preserve"> </w:t>
            </w:r>
            <w:r>
              <w:rPr>
                <w:rFonts w:hint="eastAsia" w:ascii="仿宋_GB2312" w:hAnsi="宋体"/>
                <w:sz w:val="28"/>
                <w:szCs w:val="28"/>
              </w:rPr>
              <w:t xml:space="preserve">  </w:t>
            </w:r>
            <w:r>
              <w:rPr>
                <w:rFonts w:hint="eastAsia" w:ascii="仿宋_GB2312" w:hAnsi="宋体"/>
                <w:sz w:val="28"/>
                <w:szCs w:val="28"/>
                <w:lang w:val="en-US" w:eastAsia="zh-CN"/>
              </w:rPr>
              <w:t xml:space="preserve"> </w:t>
            </w:r>
            <w:r>
              <w:rPr>
                <w:rFonts w:ascii="仿宋_GB2312" w:hAnsi="宋体"/>
                <w:sz w:val="28"/>
                <w:szCs w:val="28"/>
              </w:rPr>
              <w:t>20</w:t>
            </w:r>
            <w:r>
              <w:rPr>
                <w:rFonts w:hint="eastAsia" w:ascii="仿宋_GB2312" w:hAnsi="宋体"/>
                <w:sz w:val="28"/>
                <w:szCs w:val="28"/>
              </w:rPr>
              <w:t>2</w:t>
            </w:r>
            <w:r>
              <w:rPr>
                <w:rFonts w:hint="eastAsia" w:ascii="仿宋_GB2312" w:hAnsi="宋体"/>
                <w:sz w:val="28"/>
                <w:szCs w:val="28"/>
                <w:lang w:val="en-US" w:eastAsia="zh-CN"/>
              </w:rPr>
              <w:t>5</w:t>
            </w:r>
            <w:r>
              <w:rPr>
                <w:rFonts w:ascii="仿宋_GB2312" w:hAnsi="宋体"/>
                <w:sz w:val="28"/>
                <w:szCs w:val="28"/>
              </w:rPr>
              <w:t>年6月4日</w:t>
            </w:r>
            <w:r>
              <w:rPr>
                <w:rFonts w:hint="eastAsia" w:ascii="仿宋_GB2312" w:hAnsi="宋体"/>
                <w:sz w:val="28"/>
                <w:szCs w:val="28"/>
              </w:rPr>
              <w:t>印发</w:t>
            </w:r>
          </w:p>
        </w:tc>
      </w:tr>
    </w:tbl>
    <w:p w14:paraId="2BC2965E">
      <w:pPr>
        <w:spacing w:line="20" w:lineRule="exact"/>
        <w:rPr>
          <w:rFonts w:hint="eastAsia"/>
        </w:rPr>
      </w:pPr>
    </w:p>
    <w:sectPr>
      <w:footerReference r:id="rId6" w:type="even"/>
      <w:type w:val="continuous"/>
      <w:pgSz w:w="11906" w:h="16838"/>
      <w:pgMar w:top="2098" w:right="1327" w:bottom="1588" w:left="1644" w:header="851" w:footer="992" w:gutter="0"/>
      <w:cols w:space="720" w:num="1"/>
      <w:docGrid w:type="linesAndChars" w:linePitch="597" w:charSpace="-1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3275">
    <w:pPr>
      <w:pStyle w:val="19"/>
      <w:suppressLineNumbers w:val="0"/>
      <w:kinsoku/>
      <w:wordWrap/>
      <w:overflowPunct/>
      <w:topLinePunct w:val="0"/>
      <w:autoSpaceDE/>
      <w:autoSpaceDN/>
      <w:bidi w:val="0"/>
      <w:adjustRightInd/>
      <w:snapToGrid/>
      <w:ind w:right="320" w:rightChars="100"/>
      <w:jc w:val="right"/>
      <w:rPr>
        <w:rFonts w:ascii="宋体" w:hAnsi="宋体" w:eastAsia="宋体" w:cs="宋体"/>
        <w:snapToGrid/>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p w14:paraId="42B4D175">
    <w:pPr>
      <w:pStyle w:val="19"/>
      <w:kinsoku/>
      <w:wordWrap/>
      <w:overflowPunct/>
      <w:topLinePunct w:val="0"/>
      <w:autoSpaceDE/>
      <w:autoSpaceDN/>
      <w:bidi w:val="0"/>
      <w:adjustRightInd/>
      <w:snapToGri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42A4D">
    <w:pPr>
      <w:pStyle w:val="19"/>
      <w:suppressLineNumbers w:val="0"/>
      <w:kinsoku/>
      <w:wordWrap/>
      <w:overflowPunct/>
      <w:topLinePunct w:val="0"/>
      <w:autoSpaceDE/>
      <w:autoSpaceDN/>
      <w:bidi w:val="0"/>
      <w:adjustRightInd/>
      <w:snapToGrid/>
      <w:ind w:left="320" w:leftChars="100" w:firstLine="0" w:firstLineChars="0"/>
      <w:jc w:val="left"/>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C0B8A">
    <w:pPr>
      <w:pStyle w:val="19"/>
      <w:suppressLineNumbers w:val="0"/>
      <w:kinsoku/>
      <w:wordWrap/>
      <w:overflowPunct/>
      <w:topLinePunct w:val="0"/>
      <w:autoSpaceDE/>
      <w:autoSpaceDN/>
      <w:bidi w:val="0"/>
      <w:adjustRightInd/>
      <w:snapToGrid/>
      <w:ind w:left="320" w:leftChars="100" w:firstLine="0" w:firstLineChars="0"/>
      <w:jc w:val="left"/>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14C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evenAndOddHeaders w:val="1"/>
  <w:drawingGridHorizontalSpacing w:val="-1"/>
  <w:drawingGridVerticalSpacing w:val="59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C21AA"/>
    <w:rsid w:val="77671F70"/>
    <w:rsid w:val="D9FFBD7B"/>
    <w:rsid w:val="EA4E66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kern w:val="2"/>
      <w:sz w:val="32"/>
      <w:szCs w:val="24"/>
      <w:lang w:val="en-US" w:eastAsia="zh-CN" w:bidi="ar-SA"/>
    </w:rPr>
  </w:style>
  <w:style w:type="paragraph" w:styleId="2">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Plain Text"/>
    <w:basedOn w:val="1"/>
    <w:link w:val="185"/>
    <w:qFormat/>
    <w:uiPriority w:val="0"/>
    <w:rPr>
      <w:rFonts w:ascii="宋体" w:hAnsi="Courier New" w:eastAsia="宋体" w:cs="宋体"/>
      <w:sz w:val="21"/>
      <w:szCs w:val="21"/>
    </w:r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3"/>
    <w:semiHidden/>
    <w:unhideWhenUsed/>
    <w:qFormat/>
    <w:uiPriority w:val="99"/>
    <w:pPr>
      <w:spacing w:after="0" w:line="240" w:lineRule="auto"/>
    </w:pPr>
    <w:rPr>
      <w:sz w:val="20"/>
    </w:rPr>
  </w:style>
  <w:style w:type="paragraph" w:styleId="18">
    <w:name w:val="Balloon Text"/>
    <w:basedOn w:val="1"/>
    <w:semiHidden/>
    <w:qFormat/>
    <w:uiPriority w:val="0"/>
    <w:rPr>
      <w:sz w:val="18"/>
      <w:szCs w:val="18"/>
    </w:rPr>
  </w:style>
  <w:style w:type="paragraph" w:styleId="19">
    <w:name w:val="footer"/>
    <w:basedOn w:val="1"/>
    <w:link w:val="186"/>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49"/>
    <w:qFormat/>
    <w:uiPriority w:val="11"/>
    <w:pPr>
      <w:spacing w:before="200" w:after="200"/>
    </w:pPr>
    <w:rPr>
      <w:sz w:val="24"/>
      <w:szCs w:val="24"/>
    </w:rPr>
  </w:style>
  <w:style w:type="paragraph" w:styleId="24">
    <w:name w:val="footnote text"/>
    <w:basedOn w:val="1"/>
    <w:link w:val="182"/>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Title"/>
    <w:basedOn w:val="1"/>
    <w:next w:val="1"/>
    <w:link w:val="48"/>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basedOn w:val="32"/>
    <w:semiHidden/>
    <w:unhideWhenUsed/>
    <w:qFormat/>
    <w:uiPriority w:val="99"/>
    <w:rPr>
      <w:vertAlign w:val="superscript"/>
    </w:rPr>
  </w:style>
  <w:style w:type="character" w:styleId="34">
    <w:name w:val="page number"/>
    <w:basedOn w:val="32"/>
    <w:qFormat/>
    <w:uiPriority w:val="0"/>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basedOn w:val="32"/>
    <w:unhideWhenUsed/>
    <w:qFormat/>
    <w:uiPriority w:val="99"/>
    <w:rPr>
      <w:vertAlign w:val="superscript"/>
    </w:rPr>
  </w:style>
  <w:style w:type="character" w:customStyle="1" w:styleId="37">
    <w:name w:val="Heading 1 Char"/>
    <w:basedOn w:val="32"/>
    <w:link w:val="2"/>
    <w:qFormat/>
    <w:uiPriority w:val="9"/>
    <w:rPr>
      <w:rFonts w:ascii="Arial" w:hAnsi="Arial" w:eastAsia="Arial" w:cs="Arial"/>
      <w:sz w:val="40"/>
      <w:szCs w:val="40"/>
    </w:rPr>
  </w:style>
  <w:style w:type="character" w:customStyle="1" w:styleId="38">
    <w:name w:val="Heading 2 Char"/>
    <w:basedOn w:val="32"/>
    <w:link w:val="3"/>
    <w:qFormat/>
    <w:uiPriority w:val="9"/>
    <w:rPr>
      <w:rFonts w:ascii="Arial" w:hAnsi="Arial" w:eastAsia="Arial" w:cs="Arial"/>
      <w:sz w:val="34"/>
    </w:rPr>
  </w:style>
  <w:style w:type="character" w:customStyle="1" w:styleId="39">
    <w:name w:val="Heading 3 Char"/>
    <w:basedOn w:val="32"/>
    <w:link w:val="4"/>
    <w:qFormat/>
    <w:uiPriority w:val="9"/>
    <w:rPr>
      <w:rFonts w:ascii="Arial" w:hAnsi="Arial" w:eastAsia="Arial" w:cs="Arial"/>
      <w:sz w:val="30"/>
      <w:szCs w:val="30"/>
    </w:rPr>
  </w:style>
  <w:style w:type="character" w:customStyle="1" w:styleId="40">
    <w:name w:val="Heading 4 Char"/>
    <w:basedOn w:val="32"/>
    <w:link w:val="5"/>
    <w:qFormat/>
    <w:uiPriority w:val="9"/>
    <w:rPr>
      <w:rFonts w:ascii="Arial" w:hAnsi="Arial" w:eastAsia="Arial" w:cs="Arial"/>
      <w:b/>
      <w:bCs/>
      <w:sz w:val="26"/>
      <w:szCs w:val="26"/>
    </w:rPr>
  </w:style>
  <w:style w:type="character" w:customStyle="1" w:styleId="41">
    <w:name w:val="Heading 5 Char"/>
    <w:basedOn w:val="32"/>
    <w:link w:val="6"/>
    <w:qFormat/>
    <w:uiPriority w:val="9"/>
    <w:rPr>
      <w:rFonts w:ascii="Arial" w:hAnsi="Arial" w:eastAsia="Arial" w:cs="Arial"/>
      <w:b/>
      <w:bCs/>
      <w:sz w:val="24"/>
      <w:szCs w:val="24"/>
    </w:rPr>
  </w:style>
  <w:style w:type="character" w:customStyle="1" w:styleId="42">
    <w:name w:val="Heading 6 Char"/>
    <w:basedOn w:val="32"/>
    <w:link w:val="7"/>
    <w:qFormat/>
    <w:uiPriority w:val="9"/>
    <w:rPr>
      <w:rFonts w:ascii="Arial" w:hAnsi="Arial" w:eastAsia="Arial" w:cs="Arial"/>
      <w:b/>
      <w:bCs/>
      <w:sz w:val="22"/>
      <w:szCs w:val="22"/>
    </w:rPr>
  </w:style>
  <w:style w:type="character" w:customStyle="1" w:styleId="43">
    <w:name w:val="Heading 7 Char"/>
    <w:basedOn w:val="32"/>
    <w:link w:val="8"/>
    <w:qFormat/>
    <w:uiPriority w:val="9"/>
    <w:rPr>
      <w:rFonts w:ascii="Arial" w:hAnsi="Arial" w:eastAsia="Arial" w:cs="Arial"/>
      <w:b/>
      <w:bCs/>
      <w:i/>
      <w:iCs/>
      <w:sz w:val="22"/>
      <w:szCs w:val="22"/>
    </w:rPr>
  </w:style>
  <w:style w:type="character" w:customStyle="1" w:styleId="44">
    <w:name w:val="Heading 8 Char"/>
    <w:basedOn w:val="32"/>
    <w:link w:val="9"/>
    <w:qFormat/>
    <w:uiPriority w:val="9"/>
    <w:rPr>
      <w:rFonts w:ascii="Arial" w:hAnsi="Arial" w:eastAsia="Arial" w:cs="Arial"/>
      <w:i/>
      <w:iCs/>
      <w:sz w:val="22"/>
      <w:szCs w:val="22"/>
    </w:rPr>
  </w:style>
  <w:style w:type="character" w:customStyle="1" w:styleId="45">
    <w:name w:val="Heading 9 Char"/>
    <w:basedOn w:val="32"/>
    <w:link w:val="10"/>
    <w:qFormat/>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basedOn w:val="32"/>
    <w:link w:val="29"/>
    <w:qFormat/>
    <w:uiPriority w:val="10"/>
    <w:rPr>
      <w:sz w:val="48"/>
      <w:szCs w:val="48"/>
    </w:rPr>
  </w:style>
  <w:style w:type="character" w:customStyle="1" w:styleId="49">
    <w:name w:val="Subtitle Char"/>
    <w:basedOn w:val="32"/>
    <w:link w:val="23"/>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basedOn w:val="32"/>
    <w:qFormat/>
    <w:uiPriority w:val="99"/>
  </w:style>
  <w:style w:type="character" w:customStyle="1" w:styleId="55">
    <w:name w:val="Footer Char"/>
    <w:basedOn w:val="32"/>
    <w:qFormat/>
    <w:uiPriority w:val="99"/>
  </w:style>
  <w:style w:type="character" w:customStyle="1" w:styleId="56">
    <w:name w:val="Caption Char"/>
    <w:qFormat/>
    <w:uiPriority w:val="99"/>
  </w:style>
  <w:style w:type="table" w:customStyle="1" w:styleId="57">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3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basedOn w:val="3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basedOn w:val="3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basedOn w:val="3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0"/>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basedOn w:val="3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0"/>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basedOn w:val="3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basedOn w:val="30"/>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30"/>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basedOn w:val="30"/>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basedOn w:val="30"/>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basedOn w:val="30"/>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basedOn w:val="30"/>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basedOn w:val="30"/>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30"/>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basedOn w:val="30"/>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basedOn w:val="3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basedOn w:val="3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basedOn w:val="3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0"/>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basedOn w:val="3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basedOn w:val="3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basedOn w:val="30"/>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30"/>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basedOn w:val="3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basedOn w:val="30"/>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basedOn w:val="3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basedOn w:val="30"/>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30"/>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basedOn w:val="30"/>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basedOn w:val="30"/>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basedOn w:val="30"/>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basedOn w:val="3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basedOn w:val="3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basedOn w:val="3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0"/>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0"/>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0"/>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basedOn w:val="30"/>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0"/>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0"/>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0"/>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0"/>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30"/>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basedOn w:val="30"/>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basedOn w:val="30"/>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basedOn w:val="30"/>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basedOn w:val="30"/>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basedOn w:val="30"/>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basedOn w:val="30"/>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3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basedOn w:val="3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basedOn w:val="30"/>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basedOn w:val="30"/>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basedOn w:val="3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0"/>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basedOn w:val="30"/>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basedOn w:val="30"/>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Footnote Text Char"/>
    <w:link w:val="24"/>
    <w:qFormat/>
    <w:uiPriority w:val="99"/>
    <w:rPr>
      <w:sz w:val="18"/>
    </w:rPr>
  </w:style>
  <w:style w:type="character" w:customStyle="1" w:styleId="183">
    <w:name w:val="Endnote Text Char"/>
    <w:link w:val="17"/>
    <w:qFormat/>
    <w:uiPriority w:val="99"/>
    <w:rPr>
      <w:sz w:val="20"/>
    </w:rPr>
  </w:style>
  <w:style w:type="paragraph" w:customStyle="1" w:styleId="184">
    <w:name w:val="TOC Heading"/>
    <w:unhideWhenUsed/>
    <w:qFormat/>
    <w:uiPriority w:val="39"/>
    <w:rPr>
      <w:rFonts w:hint="default" w:ascii="Times New Roman" w:hAnsi="Times New Roman" w:eastAsia="宋体" w:cs="Times New Roman"/>
    </w:rPr>
  </w:style>
  <w:style w:type="character" w:customStyle="1" w:styleId="185">
    <w:name w:val="纯文本 Char"/>
    <w:link w:val="15"/>
    <w:qFormat/>
    <w:uiPriority w:val="0"/>
    <w:rPr>
      <w:rFonts w:ascii="宋体" w:hAnsi="Courier New" w:eastAsia="宋体" w:cs="宋体"/>
      <w:kern w:val="2"/>
      <w:sz w:val="21"/>
      <w:szCs w:val="21"/>
      <w:lang w:val="en-US" w:eastAsia="zh-CN" w:bidi="ar-SA"/>
    </w:rPr>
  </w:style>
  <w:style w:type="character" w:customStyle="1" w:styleId="186">
    <w:name w:val="页脚 Char"/>
    <w:link w:val="19"/>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2848</Words>
  <Characters>2925</Characters>
  <TotalTime>13</TotalTime>
  <ScaleCrop>false</ScaleCrop>
  <LinksUpToDate>false</LinksUpToDate>
  <CharactersWithSpaces>3016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2010-08-18T14:58:00Z</dcterms:created>
  <dc:creator>微软中国</dc:creator>
  <cp:lastModifiedBy>李实</cp:lastModifiedBy>
  <dcterms:modified xsi:type="dcterms:W3CDTF">2025-10-28T05:33:48Z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eyJoZGlkIjoiMDhmNzkxYjVmNGJhZGFiOTM1N2VhOTI2YWNiMWRjMTEiLCJ1c2VySWQiOiIzMTM5NzkxODUifQ==</vt:lpwstr>
  </property>
  <property fmtid="{D5CDD505-2E9C-101B-9397-08002B2CF9AE}" pid="3" name="KSOProductBuildVer">
    <vt:lpwstr>2052-12.1.0.22529</vt:lpwstr>
  </property>
  <property fmtid="{D5CDD505-2E9C-101B-9397-08002B2CF9AE}" pid="4" name="ICV">
    <vt:lpwstr>6086BF9E80E146DAA8490069E72EE5BF</vt:lpwstr>
  </property>
</Properties>
</file>